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E75FC" w14:textId="53D3DC03" w:rsidR="007D19A9" w:rsidRPr="00416608" w:rsidRDefault="00416608">
      <w:pPr>
        <w:rPr>
          <w:b/>
          <w:u w:val="single"/>
        </w:rPr>
      </w:pPr>
      <w:bookmarkStart w:id="0" w:name="_GoBack"/>
      <w:bookmarkEnd w:id="0"/>
      <w:r w:rsidRPr="00416608">
        <w:rPr>
          <w:b/>
          <w:u w:val="single"/>
        </w:rPr>
        <w:t>Implications of the RAC decision-making on DTPA Reproductive toxicity classification</w:t>
      </w:r>
    </w:p>
    <w:p w14:paraId="7AEBFA97" w14:textId="49F9662B" w:rsidR="004B6D59" w:rsidRDefault="004B6D59"/>
    <w:p w14:paraId="05928111" w14:textId="77777777" w:rsidR="00416608" w:rsidRDefault="00416608" w:rsidP="00416608">
      <w:pPr>
        <w:pStyle w:val="ListParagraph"/>
        <w:ind w:left="360"/>
        <w:rPr>
          <w:b/>
          <w:i/>
        </w:rPr>
      </w:pPr>
    </w:p>
    <w:p w14:paraId="62E001BB" w14:textId="72F03E4A" w:rsidR="00416608" w:rsidRPr="00416608" w:rsidRDefault="00416608" w:rsidP="00416608">
      <w:pPr>
        <w:pStyle w:val="ListParagraph"/>
        <w:spacing w:after="120"/>
        <w:ind w:left="357"/>
        <w:contextualSpacing w:val="0"/>
        <w:rPr>
          <w:b/>
          <w:i/>
        </w:rPr>
      </w:pPr>
      <w:r w:rsidRPr="00416608">
        <w:rPr>
          <w:b/>
          <w:i/>
        </w:rPr>
        <w:t>Favourable indicators</w:t>
      </w:r>
    </w:p>
    <w:p w14:paraId="7FD16E70" w14:textId="7BF378EF" w:rsidR="004B6D59" w:rsidRPr="004B6D59" w:rsidRDefault="00416608" w:rsidP="00416608">
      <w:pPr>
        <w:ind w:left="357"/>
      </w:pPr>
      <w:r>
        <w:t xml:space="preserve">In terms of effect severity, </w:t>
      </w:r>
      <w:r w:rsidR="004B6D59">
        <w:t xml:space="preserve">a directly comparable situation </w:t>
      </w:r>
      <w:r w:rsidR="00D17076">
        <w:t>of</w:t>
      </w:r>
      <w:r>
        <w:t xml:space="preserve"> teratogenic effects </w:t>
      </w:r>
      <w:r w:rsidR="004B6D59">
        <w:t xml:space="preserve">(i.e. </w:t>
      </w:r>
      <w:r>
        <w:t xml:space="preserve">the </w:t>
      </w:r>
      <w:r w:rsidR="004B6D59">
        <w:t xml:space="preserve">induction of malformations) </w:t>
      </w:r>
      <w:r w:rsidR="00FD5674">
        <w:t xml:space="preserve">is not applicable </w:t>
      </w:r>
      <w:r>
        <w:t xml:space="preserve">in the case of </w:t>
      </w:r>
      <w:r w:rsidR="004B6D59">
        <w:t>Ag</w:t>
      </w:r>
      <w:r w:rsidR="004B6D59" w:rsidRPr="00416608">
        <w:rPr>
          <w:vertAlign w:val="superscript"/>
        </w:rPr>
        <w:t>+</w:t>
      </w:r>
      <w:r>
        <w:t>.</w:t>
      </w:r>
    </w:p>
    <w:p w14:paraId="345EEF5E" w14:textId="40D9C687" w:rsidR="004B6D59" w:rsidRDefault="004B6D59" w:rsidP="004B6D59"/>
    <w:p w14:paraId="7DA20221" w14:textId="27F77CD6" w:rsidR="00416608" w:rsidRDefault="00416608" w:rsidP="004B6D59"/>
    <w:p w14:paraId="5C7CF03D" w14:textId="77777777" w:rsidR="0051039E" w:rsidRDefault="0051039E" w:rsidP="004B6D59"/>
    <w:p w14:paraId="1EB83A44" w14:textId="2A7D79E3" w:rsidR="00416608" w:rsidRPr="00416608" w:rsidRDefault="00416608" w:rsidP="0051039E">
      <w:pPr>
        <w:pStyle w:val="ListParagraph"/>
        <w:spacing w:after="120"/>
        <w:ind w:left="357"/>
        <w:contextualSpacing w:val="0"/>
        <w:rPr>
          <w:b/>
          <w:i/>
        </w:rPr>
      </w:pPr>
      <w:r>
        <w:rPr>
          <w:b/>
          <w:i/>
        </w:rPr>
        <w:t>Negative</w:t>
      </w:r>
      <w:r w:rsidRPr="00416608">
        <w:rPr>
          <w:b/>
          <w:i/>
        </w:rPr>
        <w:t xml:space="preserve"> indicators</w:t>
      </w:r>
    </w:p>
    <w:p w14:paraId="49F2CD78" w14:textId="118C0AEF" w:rsidR="004B6D59" w:rsidRDefault="00416608" w:rsidP="00416608">
      <w:pPr>
        <w:ind w:left="360"/>
        <w:jc w:val="both"/>
      </w:pPr>
      <w:r>
        <w:t xml:space="preserve">Based on learnings from the recent DTPA decision by RAC, </w:t>
      </w:r>
      <w:r w:rsidR="00FD5674">
        <w:t xml:space="preserve">unfortunately </w:t>
      </w:r>
      <w:r>
        <w:t xml:space="preserve">most implications are adverse in respect of </w:t>
      </w:r>
      <w:r w:rsidR="00996B44">
        <w:t>“look ahead”</w:t>
      </w:r>
      <w:r w:rsidR="0051039E">
        <w:t xml:space="preserve"> </w:t>
      </w:r>
      <w:r w:rsidR="00ED41EA">
        <w:t>regarding the possibility of</w:t>
      </w:r>
      <w:r w:rsidR="0051039E">
        <w:t xml:space="preserve"> a </w:t>
      </w:r>
      <w:r w:rsidR="004B6D59">
        <w:t>Cat</w:t>
      </w:r>
      <w:r w:rsidR="0051039E">
        <w:t>.</w:t>
      </w:r>
      <w:r w:rsidR="004B6D59">
        <w:t xml:space="preserve"> 1B classification for Ag</w:t>
      </w:r>
      <w:r w:rsidR="004B6D59" w:rsidRPr="00416608">
        <w:rPr>
          <w:vertAlign w:val="superscript"/>
        </w:rPr>
        <w:t>+</w:t>
      </w:r>
      <w:r w:rsidR="004B6D59">
        <w:t xml:space="preserve"> soluble forms</w:t>
      </w:r>
      <w:r>
        <w:t>, viz.:</w:t>
      </w:r>
    </w:p>
    <w:p w14:paraId="03D84435" w14:textId="77777777" w:rsidR="004B6D59" w:rsidRDefault="004B6D59" w:rsidP="00416608">
      <w:pPr>
        <w:pStyle w:val="ListParagraph"/>
        <w:jc w:val="both"/>
      </w:pPr>
    </w:p>
    <w:p w14:paraId="58E6C5F3" w14:textId="4417C502" w:rsidR="005C3468" w:rsidRDefault="00416608" w:rsidP="00416608">
      <w:pPr>
        <w:pStyle w:val="ListParagraph"/>
        <w:numPr>
          <w:ilvl w:val="1"/>
          <w:numId w:val="1"/>
        </w:numPr>
        <w:spacing w:after="120"/>
        <w:ind w:left="1434" w:hanging="357"/>
        <w:contextualSpacing w:val="0"/>
        <w:jc w:val="both"/>
      </w:pPr>
      <w:r>
        <w:t xml:space="preserve">In common with their standard modus operandi, </w:t>
      </w:r>
      <w:r w:rsidR="005C3468">
        <w:t>RAC did not take account of potency of effect</w:t>
      </w:r>
      <w:r w:rsidR="0051039E">
        <w:t xml:space="preserve"> for DTPA</w:t>
      </w:r>
      <w:r>
        <w:t xml:space="preserve">, i.e. </w:t>
      </w:r>
      <w:r w:rsidR="0051039E">
        <w:t xml:space="preserve">the </w:t>
      </w:r>
      <w:r>
        <w:t>teratogenicity</w:t>
      </w:r>
      <w:r w:rsidR="005C3468">
        <w:t xml:space="preserve"> evident in </w:t>
      </w:r>
      <w:r>
        <w:t>the key</w:t>
      </w:r>
      <w:r w:rsidR="005C3468">
        <w:t xml:space="preserve"> prenatal study </w:t>
      </w:r>
      <w:r>
        <w:t>occurred at a treatment level which represents</w:t>
      </w:r>
      <w:r w:rsidR="005C3468">
        <w:t xml:space="preserve"> a limit dose.</w:t>
      </w:r>
    </w:p>
    <w:p w14:paraId="062BD7A5" w14:textId="4ECFE854" w:rsidR="005C3468" w:rsidRDefault="005C3468" w:rsidP="00416608">
      <w:pPr>
        <w:pStyle w:val="ListParagraph"/>
        <w:numPr>
          <w:ilvl w:val="1"/>
          <w:numId w:val="1"/>
        </w:numPr>
        <w:spacing w:after="120"/>
        <w:ind w:left="1434" w:hanging="357"/>
        <w:contextualSpacing w:val="0"/>
        <w:jc w:val="both"/>
      </w:pPr>
      <w:r>
        <w:t xml:space="preserve">RAC considered </w:t>
      </w:r>
      <w:r w:rsidR="00416608">
        <w:t xml:space="preserve">the mechanism of action </w:t>
      </w:r>
      <w:r w:rsidR="00E702D7">
        <w:t xml:space="preserve">(MoA) </w:t>
      </w:r>
      <w:r w:rsidR="0051039E">
        <w:t xml:space="preserve">for DTPA </w:t>
      </w:r>
      <w:r w:rsidR="00416608">
        <w:t>as</w:t>
      </w:r>
      <w:r>
        <w:t xml:space="preserve"> relevant to humans, even </w:t>
      </w:r>
      <w:r w:rsidR="0051039E">
        <w:t xml:space="preserve">taking into account </w:t>
      </w:r>
      <w:r>
        <w:t xml:space="preserve">what is known about </w:t>
      </w:r>
      <w:r w:rsidR="00416608">
        <w:t xml:space="preserve">the </w:t>
      </w:r>
      <w:r>
        <w:t>Zn axis</w:t>
      </w:r>
      <w:r w:rsidR="00416608">
        <w:t xml:space="preserve"> and </w:t>
      </w:r>
      <w:r w:rsidR="00FD5674">
        <w:t>the degree of</w:t>
      </w:r>
      <w:r w:rsidR="00416608">
        <w:t xml:space="preserve"> </w:t>
      </w:r>
      <w:r>
        <w:t xml:space="preserve">practical hazard to humans.  </w:t>
      </w:r>
      <w:r w:rsidR="00416608">
        <w:t xml:space="preserve">For silver, the </w:t>
      </w:r>
      <w:r>
        <w:t xml:space="preserve">Cu homeostasis MoA </w:t>
      </w:r>
      <w:r w:rsidR="00E702D7">
        <w:t xml:space="preserve">is </w:t>
      </w:r>
      <w:r>
        <w:t>already stated as seen as relevant to humans (</w:t>
      </w:r>
      <w:r w:rsidR="00E702D7">
        <w:t xml:space="preserve">based on prior decisions by </w:t>
      </w:r>
      <w:r>
        <w:t>RAC/eCA).</w:t>
      </w:r>
    </w:p>
    <w:p w14:paraId="1EA7D1C1" w14:textId="3DECD580" w:rsidR="005C3468" w:rsidRDefault="00E702D7" w:rsidP="00416608">
      <w:pPr>
        <w:pStyle w:val="ListParagraph"/>
        <w:numPr>
          <w:ilvl w:val="1"/>
          <w:numId w:val="1"/>
        </w:numPr>
        <w:spacing w:after="120"/>
        <w:ind w:left="1434" w:hanging="357"/>
        <w:contextualSpacing w:val="0"/>
        <w:jc w:val="both"/>
      </w:pPr>
      <w:r>
        <w:t xml:space="preserve">In terms of </w:t>
      </w:r>
      <w:r w:rsidR="00FD5674">
        <w:t xml:space="preserve">overall </w:t>
      </w:r>
      <w:r>
        <w:t xml:space="preserve">adversity considerations, RAC have already defined several facets of </w:t>
      </w:r>
      <w:r w:rsidR="00F80E33">
        <w:t>Ag</w:t>
      </w:r>
      <w:r w:rsidR="00F80E33" w:rsidRPr="00FD5674">
        <w:rPr>
          <w:vertAlign w:val="superscript"/>
        </w:rPr>
        <w:t>+</w:t>
      </w:r>
      <w:r w:rsidR="00F80E33">
        <w:t xml:space="preserve"> embryofetal toxicity </w:t>
      </w:r>
      <w:r>
        <w:t xml:space="preserve">as </w:t>
      </w:r>
      <w:r w:rsidR="00FD5674">
        <w:t>being of note</w:t>
      </w:r>
      <w:r>
        <w:t xml:space="preserve">, i.e. </w:t>
      </w:r>
      <w:r w:rsidR="00F80E33">
        <w:t xml:space="preserve">implantation loss (early lethality); </w:t>
      </w:r>
      <w:r w:rsidR="00F80E33" w:rsidRPr="00F80E33">
        <w:t xml:space="preserve">increased pup mortality; </w:t>
      </w:r>
      <w:r>
        <w:t xml:space="preserve">and </w:t>
      </w:r>
      <w:r w:rsidR="00F80E33" w:rsidRPr="00F80E33">
        <w:t>an increased incidence of runts and F1 generation weight retardation/delayed growth</w:t>
      </w:r>
      <w:r w:rsidR="00F80E33">
        <w:t>.</w:t>
      </w:r>
      <w:r w:rsidR="005C3468">
        <w:t xml:space="preserve">  </w:t>
      </w:r>
      <w:r>
        <w:t xml:space="preserve">Hence, there are multiple effects of potential concern. </w:t>
      </w:r>
      <w:r w:rsidR="005C3468">
        <w:t xml:space="preserve"> </w:t>
      </w:r>
      <w:r>
        <w:t>It c</w:t>
      </w:r>
      <w:r w:rsidR="005C3468">
        <w:t xml:space="preserve">an be expected that </w:t>
      </w:r>
      <w:r w:rsidR="0051039E">
        <w:t xml:space="preserve">the alleged </w:t>
      </w:r>
      <w:r w:rsidR="005C3468">
        <w:t xml:space="preserve">fertility effects (Sprando et al.) and </w:t>
      </w:r>
      <w:r w:rsidR="0051039E">
        <w:t>developmental immunotoxicity</w:t>
      </w:r>
      <w:r w:rsidR="005C3468">
        <w:t xml:space="preserve"> (Babu et al.) will </w:t>
      </w:r>
      <w:r>
        <w:t xml:space="preserve">further </w:t>
      </w:r>
      <w:r w:rsidR="005C3468">
        <w:t>be aggravating factors</w:t>
      </w:r>
      <w:r>
        <w:t>,</w:t>
      </w:r>
      <w:r w:rsidR="005C3468">
        <w:t xml:space="preserve"> where</w:t>
      </w:r>
      <w:r w:rsidR="0051039E">
        <w:t xml:space="preserve"> in these cases</w:t>
      </w:r>
      <w:r w:rsidR="005C3468">
        <w:t xml:space="preserve"> the formal guidance has </w:t>
      </w:r>
      <w:r>
        <w:t>imprecise</w:t>
      </w:r>
      <w:r w:rsidR="005C3468">
        <w:t xml:space="preserve"> evidential triggers for RAC to follow.</w:t>
      </w:r>
    </w:p>
    <w:p w14:paraId="706250BA" w14:textId="4784F4BE" w:rsidR="009867AB" w:rsidRDefault="00E702D7" w:rsidP="00416608">
      <w:pPr>
        <w:pStyle w:val="ListParagraph"/>
        <w:numPr>
          <w:ilvl w:val="1"/>
          <w:numId w:val="1"/>
        </w:numPr>
        <w:jc w:val="both"/>
      </w:pPr>
      <w:r>
        <w:t>As previously discussed within the PMC, a solid mitigation case cannot be put forward</w:t>
      </w:r>
      <w:r w:rsidR="004B6D59">
        <w:t xml:space="preserve"> </w:t>
      </w:r>
      <w:r>
        <w:t>that significant</w:t>
      </w:r>
      <w:r w:rsidR="004B6D59">
        <w:t xml:space="preserve"> parental toxicity </w:t>
      </w:r>
      <w:r>
        <w:t>affected the outcomes of the</w:t>
      </w:r>
      <w:r w:rsidR="004B6D59">
        <w:t xml:space="preserve"> Sprando et al. and 2-generation SCAS studies.</w:t>
      </w:r>
      <w:r>
        <w:t xml:space="preserve">  This is in part due to the stringent wording of related guidance:</w:t>
      </w:r>
      <w:r w:rsidR="009867AB" w:rsidRPr="009867AB">
        <w:t xml:space="preserve"> </w:t>
      </w:r>
    </w:p>
    <w:p w14:paraId="434B9927" w14:textId="3FA3C35C" w:rsidR="009867AB" w:rsidRPr="00E702D7" w:rsidRDefault="009867AB" w:rsidP="00E702D7">
      <w:pPr>
        <w:pStyle w:val="ListParagraph"/>
        <w:ind w:left="2160"/>
        <w:jc w:val="both"/>
        <w:rPr>
          <w:i/>
        </w:rPr>
      </w:pPr>
      <w:r w:rsidRPr="009867AB">
        <w:rPr>
          <w:i/>
        </w:rPr>
        <w:t xml:space="preserve">Developmental effects which occur even in the presence of maternal toxicity are considered to be evidence of developmental toxicity, unless it can be </w:t>
      </w:r>
      <w:r w:rsidRPr="00E702D7">
        <w:rPr>
          <w:i/>
        </w:rPr>
        <w:t>unequivocally</w:t>
      </w:r>
      <w:r w:rsidRPr="009867AB">
        <w:rPr>
          <w:i/>
        </w:rPr>
        <w:t xml:space="preserve"> demonstrated on a case-by-case basis that the developmental effects are secondary to maternal toxicity. </w:t>
      </w:r>
      <w:r w:rsidRPr="00E702D7">
        <w:rPr>
          <w:i/>
        </w:rPr>
        <w:t>Moreover, classification shall be considered where there is a significant toxic effect in the offspring, e.g. irreversible effects such as structural malformations, embryo/foetal lethality, significant post-natal functional deficiencies.</w:t>
      </w:r>
    </w:p>
    <w:p w14:paraId="53AB7F45" w14:textId="45A635AF" w:rsidR="00E702D7" w:rsidRDefault="00E702D7" w:rsidP="00E702D7">
      <w:pPr>
        <w:pStyle w:val="ListParagraph"/>
        <w:numPr>
          <w:ilvl w:val="1"/>
          <w:numId w:val="1"/>
        </w:numPr>
        <w:spacing w:before="120"/>
        <w:ind w:left="1434" w:hanging="357"/>
        <w:contextualSpacing w:val="0"/>
        <w:jc w:val="both"/>
      </w:pPr>
      <w:r>
        <w:t>RAC</w:t>
      </w:r>
      <w:r w:rsidR="00605FEC">
        <w:t>/ECHA</w:t>
      </w:r>
      <w:r>
        <w:t xml:space="preserve"> are more conservative </w:t>
      </w:r>
      <w:r w:rsidR="00605FEC">
        <w:t xml:space="preserve">in application of guidance to classification </w:t>
      </w:r>
      <w:r>
        <w:t xml:space="preserve">than </w:t>
      </w:r>
      <w:r w:rsidR="00605FEC">
        <w:t xml:space="preserve">some parts of the UN </w:t>
      </w:r>
      <w:r>
        <w:t>GHS guidance, e.g. where there is human to test species TK divergence.</w:t>
      </w:r>
    </w:p>
    <w:p w14:paraId="4707A042" w14:textId="627B536E" w:rsidR="004B6D59" w:rsidRDefault="00FD5674" w:rsidP="00605FEC">
      <w:pPr>
        <w:pStyle w:val="ListParagraph"/>
        <w:numPr>
          <w:ilvl w:val="1"/>
          <w:numId w:val="1"/>
        </w:numPr>
        <w:spacing w:before="120"/>
        <w:contextualSpacing w:val="0"/>
        <w:jc w:val="both"/>
      </w:pPr>
      <w:r>
        <w:t xml:space="preserve">It is arguable whether the DTPA case represents a situation of indirect effects.  For silver, the current situation is that an argument for the operation of one or more indirect effects lacks </w:t>
      </w:r>
      <w:r w:rsidR="005C3468">
        <w:t>full evidential justification</w:t>
      </w:r>
      <w:r>
        <w:t xml:space="preserve">.  For example, </w:t>
      </w:r>
      <w:r w:rsidR="00605FEC">
        <w:t xml:space="preserve">that </w:t>
      </w:r>
      <w:r w:rsidR="004B6D59">
        <w:t xml:space="preserve">induced dysbiosis or </w:t>
      </w:r>
      <w:r w:rsidR="00E702D7">
        <w:t xml:space="preserve">other </w:t>
      </w:r>
      <w:r>
        <w:t xml:space="preserve">non-primary reprotoxic </w:t>
      </w:r>
      <w:r w:rsidR="00E702D7">
        <w:t xml:space="preserve">effects </w:t>
      </w:r>
      <w:r w:rsidR="00605FEC">
        <w:t>are relevant at the LOAEL for Ag</w:t>
      </w:r>
      <w:r w:rsidR="00605FEC" w:rsidRPr="00605FEC">
        <w:rPr>
          <w:vertAlign w:val="superscript"/>
        </w:rPr>
        <w:t>+</w:t>
      </w:r>
      <w:r w:rsidR="00605FEC">
        <w:t xml:space="preserve">. </w:t>
      </w:r>
      <w:r>
        <w:t>Hence, t</w:t>
      </w:r>
      <w:r w:rsidR="00605FEC">
        <w:t>his remains a priority area for defence development, along with further interpretative efforts on the Cu MoA.</w:t>
      </w:r>
    </w:p>
    <w:p w14:paraId="2D70E95C" w14:textId="77777777" w:rsidR="004B6D59" w:rsidRDefault="004B6D59" w:rsidP="004B6D59">
      <w:pPr>
        <w:pStyle w:val="ListParagraph"/>
        <w:ind w:left="1440"/>
      </w:pPr>
    </w:p>
    <w:sectPr w:rsidR="004B6D5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43364" w14:textId="77777777" w:rsidR="00D77FBD" w:rsidRDefault="00D77FBD" w:rsidP="00416608">
      <w:r>
        <w:separator/>
      </w:r>
    </w:p>
  </w:endnote>
  <w:endnote w:type="continuationSeparator" w:id="0">
    <w:p w14:paraId="2E2FEC39" w14:textId="77777777" w:rsidR="00D77FBD" w:rsidRDefault="00D77FBD" w:rsidP="0041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91010" w14:textId="0AE30E17" w:rsidR="00416608" w:rsidRDefault="00416608" w:rsidP="00416608">
    <w:pPr>
      <w:pStyle w:val="Footer"/>
    </w:pPr>
    <w:r w:rsidRPr="004D7BB1">
      <w:t>Originator: Raffray Biosciences Ltd.</w:t>
    </w:r>
    <w:r w:rsidRPr="004D7BB1">
      <w:tab/>
    </w:r>
    <w:sdt>
      <w:sdtPr>
        <w:id w:val="1444966694"/>
        <w:docPartObj>
          <w:docPartGallery w:val="Page Numbers (Bottom of Page)"/>
          <w:docPartUnique/>
        </w:docPartObj>
      </w:sdtPr>
      <w:sdtEndPr/>
      <w:sdtContent>
        <w:sdt>
          <w:sdtPr>
            <w:id w:val="460381958"/>
            <w:docPartObj>
              <w:docPartGallery w:val="Page Numbers (Top of Page)"/>
              <w:docPartUnique/>
            </w:docPartObj>
          </w:sdtPr>
          <w:sdtEndPr/>
          <w:sdtContent>
            <w:r w:rsidRPr="004D7BB1">
              <w:t xml:space="preserve">Page </w:t>
            </w:r>
            <w:r w:rsidRPr="004D7BB1">
              <w:rPr>
                <w:b/>
                <w:bCs/>
              </w:rPr>
              <w:fldChar w:fldCharType="begin"/>
            </w:r>
            <w:r w:rsidRPr="004D7BB1">
              <w:rPr>
                <w:b/>
                <w:bCs/>
              </w:rPr>
              <w:instrText xml:space="preserve"> PAGE </w:instrText>
            </w:r>
            <w:r w:rsidRPr="004D7BB1">
              <w:rPr>
                <w:b/>
                <w:bCs/>
              </w:rPr>
              <w:fldChar w:fldCharType="separate"/>
            </w:r>
            <w:r w:rsidR="00C829FA">
              <w:rPr>
                <w:b/>
                <w:bCs/>
                <w:noProof/>
              </w:rPr>
              <w:t>1</w:t>
            </w:r>
            <w:r w:rsidRPr="004D7BB1">
              <w:fldChar w:fldCharType="end"/>
            </w:r>
            <w:r w:rsidRPr="004D7BB1">
              <w:t xml:space="preserve"> of </w:t>
            </w:r>
            <w:r w:rsidRPr="004D7BB1">
              <w:rPr>
                <w:b/>
                <w:bCs/>
              </w:rPr>
              <w:fldChar w:fldCharType="begin"/>
            </w:r>
            <w:r w:rsidRPr="004D7BB1">
              <w:rPr>
                <w:b/>
                <w:bCs/>
              </w:rPr>
              <w:instrText xml:space="preserve"> NUMPAGES  </w:instrText>
            </w:r>
            <w:r w:rsidRPr="004D7BB1">
              <w:rPr>
                <w:b/>
                <w:bCs/>
              </w:rPr>
              <w:fldChar w:fldCharType="separate"/>
            </w:r>
            <w:r w:rsidR="00C829FA">
              <w:rPr>
                <w:b/>
                <w:bCs/>
                <w:noProof/>
              </w:rPr>
              <w:t>1</w:t>
            </w:r>
            <w:r w:rsidRPr="004D7BB1">
              <w:fldChar w:fldCharType="end"/>
            </w:r>
            <w:r w:rsidRPr="004D7BB1">
              <w:rPr>
                <w:b/>
                <w:bCs/>
              </w:rPr>
              <w:tab/>
            </w:r>
            <w:r w:rsidRPr="004D7BB1">
              <w:rPr>
                <w:bCs/>
              </w:rPr>
              <w:t xml:space="preserve">Date: </w:t>
            </w:r>
            <w:r>
              <w:rPr>
                <w:bCs/>
              </w:rPr>
              <w:t>15</w:t>
            </w:r>
            <w:r w:rsidRPr="004D7BB1">
              <w:rPr>
                <w:bCs/>
                <w:color w:val="FF0000"/>
              </w:rPr>
              <w:t xml:space="preserve"> </w:t>
            </w:r>
            <w:r w:rsidRPr="004D7BB1">
              <w:rPr>
                <w:bCs/>
              </w:rPr>
              <w:t>August 201</w:t>
            </w:r>
            <w:r>
              <w:rPr>
                <w:bCs/>
              </w:rPr>
              <w:t>8</w:t>
            </w:r>
          </w:sdtContent>
        </w:sdt>
      </w:sdtContent>
    </w:sdt>
  </w:p>
  <w:p w14:paraId="2859F7D3" w14:textId="77777777" w:rsidR="00416608" w:rsidRDefault="00416608" w:rsidP="00416608">
    <w:pPr>
      <w:pStyle w:val="Footer"/>
    </w:pPr>
  </w:p>
  <w:p w14:paraId="2A6C8ADB" w14:textId="77777777" w:rsidR="00416608" w:rsidRDefault="0041660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411BA" w14:textId="77777777" w:rsidR="00D77FBD" w:rsidRDefault="00D77FBD" w:rsidP="00416608">
      <w:r>
        <w:separator/>
      </w:r>
    </w:p>
  </w:footnote>
  <w:footnote w:type="continuationSeparator" w:id="0">
    <w:p w14:paraId="2ADFFA99" w14:textId="77777777" w:rsidR="00D77FBD" w:rsidRDefault="00D77FBD" w:rsidP="00416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E74B74"/>
    <w:multiLevelType w:val="hybridMultilevel"/>
    <w:tmpl w:val="D44A9A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D59"/>
    <w:rsid w:val="00165B6B"/>
    <w:rsid w:val="00183060"/>
    <w:rsid w:val="0027159C"/>
    <w:rsid w:val="002E50E9"/>
    <w:rsid w:val="00323902"/>
    <w:rsid w:val="00416608"/>
    <w:rsid w:val="00431E5A"/>
    <w:rsid w:val="004B6D59"/>
    <w:rsid w:val="004D134B"/>
    <w:rsid w:val="00502B38"/>
    <w:rsid w:val="0051039E"/>
    <w:rsid w:val="005C3468"/>
    <w:rsid w:val="00605FEC"/>
    <w:rsid w:val="006D1F33"/>
    <w:rsid w:val="007D19A9"/>
    <w:rsid w:val="008B398F"/>
    <w:rsid w:val="008C525B"/>
    <w:rsid w:val="009867AB"/>
    <w:rsid w:val="00996B44"/>
    <w:rsid w:val="00A37301"/>
    <w:rsid w:val="00C829FA"/>
    <w:rsid w:val="00D17076"/>
    <w:rsid w:val="00D77FBD"/>
    <w:rsid w:val="00E6183E"/>
    <w:rsid w:val="00E702D7"/>
    <w:rsid w:val="00ED41EA"/>
    <w:rsid w:val="00F27163"/>
    <w:rsid w:val="00F57ED5"/>
    <w:rsid w:val="00F80E33"/>
    <w:rsid w:val="00FD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01910F"/>
  <w15:chartTrackingRefBased/>
  <w15:docId w15:val="{E92957EE-5F2B-4EE3-A2B4-9DF9BD6F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1"/>
        <w:szCs w:val="21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D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66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6608"/>
  </w:style>
  <w:style w:type="paragraph" w:styleId="Footer">
    <w:name w:val="footer"/>
    <w:basedOn w:val="Normal"/>
    <w:link w:val="FooterChar"/>
    <w:uiPriority w:val="99"/>
    <w:unhideWhenUsed/>
    <w:rsid w:val="004166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6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2570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Raffray</dc:creator>
  <cp:keywords/>
  <dc:description/>
  <cp:lastModifiedBy>Katrien Arijs</cp:lastModifiedBy>
  <cp:revision>2</cp:revision>
  <dcterms:created xsi:type="dcterms:W3CDTF">2018-08-16T07:51:00Z</dcterms:created>
  <dcterms:modified xsi:type="dcterms:W3CDTF">2018-08-16T07:51:00Z</dcterms:modified>
</cp:coreProperties>
</file>